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jline1 1.0</w:t>
      </w:r>
    </w:p>
    <w:p>
      <w:pPr/>
      <w:r>
        <w:rPr>
          <w:rStyle w:val="13"/>
          <w:rFonts w:ascii="Arial" w:hAnsi="Arial"/>
          <w:b/>
        </w:rPr>
        <w:t xml:space="preserve">Copyright notice: </w:t>
      </w:r>
    </w:p>
    <w:p>
      <w:pPr/>
      <w:r>
        <w:rPr>
          <w:rStyle w:val="13"/>
          <w:rFonts w:ascii="宋体" w:hAnsi="宋体"/>
          <w:sz w:val="22"/>
        </w:rPr>
        <w:t>Copyright (c) 2002-2006, Marc Prudhommeaux. All rights reserved.</w:t>
        <w:br/>
        <w:t>Copyright (c) 2002-2007, Marc Prudhommeaux. All rights reserved.</w:t>
        <w:br/>
        <w:t>Copyright (c) 2002-2006, Marc Prudhommeaux &lt;mwp1@cornell.edu&gt;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