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python-pyhcl 0.4.5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2001-2019 David M. Beazley (Dabeaz LLC)</w:t>
        <w:br/>
        <w:t>Copyright (c) 2001-2020 David M. Beazley (Dabeaz LLC)</w:t>
        <w:br/>
      </w:r>
    </w:p>
    <w:p>
      <w:pPr>
        <w:spacing w:line="420" w:lineRule="exact"/>
        <w:rPr>
          <w:rFonts w:hint="eastAsia"/>
        </w:rPr>
      </w:pPr>
      <w:r>
        <w:rPr>
          <w:rFonts w:ascii="Arial" w:hAnsi="Arial"/>
          <w:b/>
          <w:sz w:val="24"/>
        </w:rPr>
        <w:t xml:space="preserve">License: </w:t>
      </w:r>
      <w:r>
        <w:rPr>
          <w:rFonts w:ascii="Arial" w:hAnsi="Arial"/>
          <w:sz w:val="21"/>
        </w:rPr>
        <w:t>MPLv2.0</w:t>
      </w:r>
    </w:p>
    <w:p>
      <w:pPr>
        <w:spacing w:line="420" w:lineRule="exact"/>
        <w:rPr>
          <w:rFonts w:hint="eastAsia" w:ascii="Arial" w:hAnsi="Arial"/>
          <w:b/>
          <w:sz w:val="24"/>
        </w:rPr>
      </w:pPr>
      <w:r>
        <w:rPr>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