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gflags 2.2.2</w:t>
      </w:r>
    </w:p>
    <w:p>
      <w:pPr/>
      <w:r>
        <w:rPr>
          <w:rStyle w:val="13"/>
          <w:rFonts w:ascii="Arial" w:hAnsi="Arial"/>
          <w:b/>
        </w:rPr>
        <w:t xml:space="preserve">Copyright notice: </w:t>
      </w:r>
    </w:p>
    <w:p>
      <w:pPr/>
      <w:r>
        <w:rPr>
          <w:rStyle w:val="13"/>
          <w:rFonts w:ascii="宋体" w:hAnsi="宋体"/>
          <w:sz w:val="22"/>
        </w:rPr>
        <w:t>Copyright (c) 2005, Google Inc.</w:t>
        <w:br/>
        <w:t>Copyright (c) 2009, Google Inc.</w:t>
        <w:br/>
        <w:t>Copyright (c) 2006, Google Inc.</w:t>
        <w:br/>
        <w:t>Copyright (c) 2008, Google Inc.</w:t>
        <w:br/>
        <w:t>Copyright (c) 2007, Google Inc.</w:t>
        <w:br/>
        <w:t>Copyright (c) 2011, Google Inc.</w:t>
        <w:br/>
        <w:t>Copyright (c) 2014, Andreas Schuh All rights reserved.</w:t>
        <w:br/>
        <w:t>Copyright (c) 1999, Google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