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google-benchmark 1.6.1</w:t>
      </w:r>
    </w:p>
    <w:p>
      <w:pPr/>
      <w:r>
        <w:rPr>
          <w:rStyle w:val="13"/>
          <w:rFonts w:ascii="Arial" w:hAnsi="Arial"/>
          <w:b/>
        </w:rPr>
        <w:t xml:space="preserve">Copyright notice: </w:t>
      </w:r>
    </w:p>
    <w:p>
      <w:pPr/>
      <w:r>
        <w:rPr>
          <w:rStyle w:val="13"/>
          <w:rFonts w:ascii="宋体" w:hAnsi="宋体"/>
          <w:sz w:val="22"/>
        </w:rPr>
        <w:t>Copyright 2018 Google Inc. All rights reserved.</w:t>
        <w:br/>
        <w:t>Copyright 2016 Ismael Jimenez Martinez. All rights reserved.</w:t>
        <w:br/>
        <w:t>Copyright 2020 Google Inc. All rights reserved.</w:t>
        <w:br/>
        <w:t>Copyright 2021 Google Inc. All rights reserved.</w:t>
        <w:br/>
        <w:t>Copyright 2017 Roman Lebedev. All rights reserved.</w:t>
        <w:br/>
        <w:t>Copyright 2015 Google Inc. All rights reserved.</w:t>
        <w:b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