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ehcache-core 2.6.11</w:t>
      </w:r>
    </w:p>
    <w:p>
      <w:pPr/>
      <w:r>
        <w:rPr>
          <w:rStyle w:val="13"/>
          <w:rFonts w:ascii="Arial" w:hAnsi="Arial"/>
          <w:b/>
        </w:rPr>
        <w:t xml:space="preserve">Copyright notice: </w:t>
      </w:r>
    </w:p>
    <w:p>
      <w:pPr/>
      <w:r>
        <w:rPr>
          <w:rStyle w:val="13"/>
          <w:rFonts w:ascii="宋体" w:hAnsi="宋体"/>
          <w:sz w:val="22"/>
        </w:rPr>
        <w:t>Copyright 2011 Terracotta, Inc.</w:t>
        <w:br/>
        <w:t>Copyright 2006 Thomas Hawtin</w:t>
        <w:br/>
        <w:t>All content copyright Terracotta, Inc., unless otherwise indicated. All rights reserved.</w:t>
        <w:br/>
        <w:t>Copyright (c) 2004-2008 QOS.ch All rights reserved.</w:t>
        <w:br/>
        <w:t>Copyright Terracotta, Inc.</w:t>
        <w:br/>
        <w:t>Copyright 2003-2007 Terracotta, Inc.</w:t>
        <w:br/>
        <w:t>Copyright 2003-2010 Terracotta,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